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EFD" w:rsidRPr="003D41AF" w:rsidRDefault="00ED2EFD" w:rsidP="00ED2EFD">
      <w:pPr>
        <w:rPr>
          <w:rFonts w:ascii="Trebuchet MS" w:hAnsi="Trebuchet MS"/>
        </w:rPr>
      </w:pPr>
    </w:p>
    <w:p w:rsidR="00ED2EFD" w:rsidRPr="008B548E" w:rsidRDefault="00D44431" w:rsidP="00600DBE">
      <w:pPr>
        <w:shd w:val="clear" w:color="auto" w:fill="95B3D7" w:themeFill="accent1" w:themeFillTint="99"/>
        <w:jc w:val="center"/>
        <w:rPr>
          <w:rFonts w:ascii="Trebuchet MS" w:hAnsi="Trebuchet MS"/>
          <w:b/>
          <w:color w:val="FFFFFF" w:themeColor="background1"/>
          <w:sz w:val="28"/>
          <w:lang w:val="ro-RO"/>
        </w:rPr>
      </w:pPr>
      <w:r w:rsidRPr="008B548E">
        <w:rPr>
          <w:rFonts w:ascii="Trebuchet MS" w:hAnsi="Trebuchet MS"/>
          <w:b/>
          <w:color w:val="FFFFFF" w:themeColor="background1"/>
          <w:sz w:val="28"/>
        </w:rPr>
        <w:t>INVITAŢIE</w:t>
      </w:r>
    </w:p>
    <w:p w:rsidR="004768DC" w:rsidRDefault="004768DC" w:rsidP="00D44431">
      <w:pPr>
        <w:jc w:val="center"/>
        <w:rPr>
          <w:rFonts w:ascii="Trebuchet MS" w:hAnsi="Trebuchet MS"/>
          <w:b/>
          <w:sz w:val="28"/>
          <w:lang w:val="ro-RO"/>
        </w:rPr>
      </w:pPr>
    </w:p>
    <w:p w:rsidR="008F6BB8" w:rsidRDefault="008F6BB8" w:rsidP="00D44431">
      <w:pPr>
        <w:jc w:val="center"/>
        <w:rPr>
          <w:rFonts w:ascii="Trebuchet MS" w:hAnsi="Trebuchet MS"/>
          <w:b/>
          <w:sz w:val="28"/>
          <w:lang w:val="ro-RO"/>
        </w:rPr>
      </w:pPr>
      <w:r w:rsidRPr="00D44431">
        <w:rPr>
          <w:rFonts w:ascii="Trebuchet MS" w:hAnsi="Trebuchet MS"/>
          <w:b/>
          <w:sz w:val="28"/>
          <w:lang w:val="ro-RO"/>
        </w:rPr>
        <w:t xml:space="preserve">Curs de </w:t>
      </w:r>
      <w:r w:rsidR="00153934" w:rsidRPr="00D44431">
        <w:rPr>
          <w:rFonts w:ascii="Trebuchet MS" w:hAnsi="Trebuchet MS"/>
          <w:b/>
          <w:sz w:val="28"/>
          <w:lang w:val="ro-RO"/>
        </w:rPr>
        <w:t>formare profesională</w:t>
      </w:r>
    </w:p>
    <w:p w:rsidR="00F9166E" w:rsidRPr="00EA332B" w:rsidRDefault="00095CCD" w:rsidP="00D44431">
      <w:pPr>
        <w:jc w:val="center"/>
        <w:rPr>
          <w:rFonts w:ascii="Trebuchet MS" w:hAnsi="Trebuchet MS"/>
          <w:i/>
          <w:sz w:val="28"/>
          <w:u w:val="single"/>
          <w:lang w:val="ro-RO"/>
        </w:rPr>
      </w:pPr>
      <w:r w:rsidRPr="00EA332B">
        <w:rPr>
          <w:rFonts w:ascii="Trebuchet MS" w:hAnsi="Trebuchet MS"/>
          <w:i/>
          <w:sz w:val="28"/>
          <w:u w:val="single"/>
          <w:lang w:val="ro-RO"/>
        </w:rPr>
        <w:t xml:space="preserve">Aspecte teoretice şi practice privind justiţia drepturilor şi libertăţilor fundamentale. Particularităţi ale </w:t>
      </w:r>
      <w:r w:rsidR="00F9166E" w:rsidRPr="00EA332B">
        <w:rPr>
          <w:rFonts w:ascii="Trebuchet MS" w:hAnsi="Trebuchet MS"/>
          <w:i/>
          <w:sz w:val="28"/>
          <w:u w:val="single"/>
          <w:lang w:val="ro-RO"/>
        </w:rPr>
        <w:t>grupurilor vulnerabile</w:t>
      </w:r>
    </w:p>
    <w:p w:rsidR="008F6BB8" w:rsidRPr="00475878" w:rsidRDefault="008F6BB8" w:rsidP="00ED2EFD">
      <w:pPr>
        <w:rPr>
          <w:rFonts w:ascii="Trebuchet MS" w:hAnsi="Trebuchet MS"/>
          <w:sz w:val="24"/>
          <w:szCs w:val="24"/>
          <w:lang w:val="ro-RO"/>
        </w:rPr>
      </w:pPr>
    </w:p>
    <w:p w:rsidR="00153934" w:rsidRPr="00475878" w:rsidRDefault="00153934" w:rsidP="00D44431">
      <w:pPr>
        <w:spacing w:after="0"/>
        <w:jc w:val="both"/>
        <w:rPr>
          <w:rFonts w:ascii="Trebuchet MS" w:hAnsi="Trebuchet MS"/>
          <w:sz w:val="24"/>
          <w:szCs w:val="24"/>
          <w:lang w:val="ro-RO"/>
        </w:rPr>
      </w:pPr>
      <w:r w:rsidRPr="00475878">
        <w:rPr>
          <w:rFonts w:ascii="Trebuchet MS" w:hAnsi="Trebuchet MS"/>
          <w:sz w:val="24"/>
          <w:szCs w:val="24"/>
        </w:rPr>
        <w:t xml:space="preserve">Transparency International Romania are </w:t>
      </w:r>
      <w:proofErr w:type="spellStart"/>
      <w:r w:rsidRPr="00475878">
        <w:rPr>
          <w:rFonts w:ascii="Trebuchet MS" w:hAnsi="Trebuchet MS"/>
          <w:sz w:val="24"/>
          <w:szCs w:val="24"/>
        </w:rPr>
        <w:t>deosebita</w:t>
      </w:r>
      <w:proofErr w:type="spellEnd"/>
      <w:r w:rsidRPr="00475878">
        <w:rPr>
          <w:rFonts w:ascii="Trebuchet MS" w:hAnsi="Trebuchet MS"/>
          <w:sz w:val="24"/>
          <w:szCs w:val="24"/>
        </w:rPr>
        <w:t xml:space="preserve"> </w:t>
      </w:r>
      <w:proofErr w:type="spellStart"/>
      <w:r w:rsidRPr="00475878">
        <w:rPr>
          <w:rFonts w:ascii="Trebuchet MS" w:hAnsi="Trebuchet MS"/>
          <w:sz w:val="24"/>
          <w:szCs w:val="24"/>
        </w:rPr>
        <w:t>plăcere</w:t>
      </w:r>
      <w:proofErr w:type="spellEnd"/>
      <w:r w:rsidRPr="00475878">
        <w:rPr>
          <w:rFonts w:ascii="Trebuchet MS" w:hAnsi="Trebuchet MS"/>
          <w:sz w:val="24"/>
          <w:szCs w:val="24"/>
        </w:rPr>
        <w:t xml:space="preserve"> de a </w:t>
      </w:r>
      <w:proofErr w:type="spellStart"/>
      <w:r w:rsidRPr="00475878">
        <w:rPr>
          <w:rFonts w:ascii="Trebuchet MS" w:hAnsi="Trebuchet MS"/>
          <w:sz w:val="24"/>
          <w:szCs w:val="24"/>
        </w:rPr>
        <w:t>vă</w:t>
      </w:r>
      <w:proofErr w:type="spellEnd"/>
      <w:r w:rsidRPr="00475878">
        <w:rPr>
          <w:rFonts w:ascii="Trebuchet MS" w:hAnsi="Trebuchet MS"/>
          <w:sz w:val="24"/>
          <w:szCs w:val="24"/>
        </w:rPr>
        <w:t xml:space="preserve"> </w:t>
      </w:r>
      <w:proofErr w:type="spellStart"/>
      <w:r w:rsidRPr="00475878">
        <w:rPr>
          <w:rFonts w:ascii="Trebuchet MS" w:hAnsi="Trebuchet MS"/>
          <w:sz w:val="24"/>
          <w:szCs w:val="24"/>
        </w:rPr>
        <w:t>invita</w:t>
      </w:r>
      <w:proofErr w:type="spellEnd"/>
      <w:r w:rsidRPr="00475878">
        <w:rPr>
          <w:rFonts w:ascii="Trebuchet MS" w:hAnsi="Trebuchet MS"/>
          <w:sz w:val="24"/>
          <w:szCs w:val="24"/>
        </w:rPr>
        <w:t xml:space="preserve"> </w:t>
      </w:r>
      <w:proofErr w:type="spellStart"/>
      <w:r w:rsidRPr="00475878">
        <w:rPr>
          <w:rFonts w:ascii="Trebuchet MS" w:hAnsi="Trebuchet MS"/>
          <w:sz w:val="24"/>
          <w:szCs w:val="24"/>
        </w:rPr>
        <w:t>să</w:t>
      </w:r>
      <w:proofErr w:type="spellEnd"/>
      <w:r w:rsidRPr="00475878">
        <w:rPr>
          <w:rFonts w:ascii="Trebuchet MS" w:hAnsi="Trebuchet MS"/>
          <w:sz w:val="24"/>
          <w:szCs w:val="24"/>
        </w:rPr>
        <w:t xml:space="preserve"> </w:t>
      </w:r>
      <w:proofErr w:type="spellStart"/>
      <w:r w:rsidRPr="00475878">
        <w:rPr>
          <w:rFonts w:ascii="Trebuchet MS" w:hAnsi="Trebuchet MS"/>
          <w:sz w:val="24"/>
          <w:szCs w:val="24"/>
        </w:rPr>
        <w:t>participaţi</w:t>
      </w:r>
      <w:proofErr w:type="spellEnd"/>
      <w:r w:rsidRPr="00475878">
        <w:rPr>
          <w:rFonts w:ascii="Trebuchet MS" w:hAnsi="Trebuchet MS"/>
          <w:sz w:val="24"/>
          <w:szCs w:val="24"/>
        </w:rPr>
        <w:t xml:space="preserve"> la </w:t>
      </w:r>
      <w:proofErr w:type="spellStart"/>
      <w:r w:rsidRPr="00475878">
        <w:rPr>
          <w:rFonts w:ascii="Trebuchet MS" w:hAnsi="Trebuchet MS"/>
          <w:sz w:val="24"/>
          <w:szCs w:val="24"/>
        </w:rPr>
        <w:t>sesiunile</w:t>
      </w:r>
      <w:proofErr w:type="spellEnd"/>
      <w:r w:rsidRPr="00475878">
        <w:rPr>
          <w:rFonts w:ascii="Trebuchet MS" w:hAnsi="Trebuchet MS"/>
          <w:sz w:val="24"/>
          <w:szCs w:val="24"/>
        </w:rPr>
        <w:t xml:space="preserve"> de </w:t>
      </w:r>
      <w:proofErr w:type="spellStart"/>
      <w:r w:rsidRPr="00475878">
        <w:rPr>
          <w:rFonts w:ascii="Trebuchet MS" w:hAnsi="Trebuchet MS"/>
          <w:sz w:val="24"/>
          <w:szCs w:val="24"/>
        </w:rPr>
        <w:t>formare</w:t>
      </w:r>
      <w:proofErr w:type="spellEnd"/>
      <w:r w:rsidRPr="00475878">
        <w:rPr>
          <w:rFonts w:ascii="Trebuchet MS" w:hAnsi="Trebuchet MS"/>
          <w:sz w:val="24"/>
          <w:szCs w:val="24"/>
        </w:rPr>
        <w:t xml:space="preserve"> </w:t>
      </w:r>
      <w:proofErr w:type="spellStart"/>
      <w:r w:rsidRPr="00475878">
        <w:rPr>
          <w:rFonts w:ascii="Trebuchet MS" w:hAnsi="Trebuchet MS"/>
          <w:sz w:val="24"/>
          <w:szCs w:val="24"/>
        </w:rPr>
        <w:t>profesională</w:t>
      </w:r>
      <w:proofErr w:type="spellEnd"/>
      <w:r w:rsidRPr="00475878">
        <w:rPr>
          <w:rFonts w:ascii="Trebuchet MS" w:hAnsi="Trebuchet MS"/>
          <w:i/>
          <w:sz w:val="24"/>
          <w:szCs w:val="24"/>
        </w:rPr>
        <w:t xml:space="preserve"> </w:t>
      </w:r>
      <w:proofErr w:type="spellStart"/>
      <w:r w:rsidRPr="00475878">
        <w:rPr>
          <w:rFonts w:ascii="Trebuchet MS" w:hAnsi="Trebuchet MS"/>
          <w:sz w:val="24"/>
          <w:szCs w:val="24"/>
        </w:rPr>
        <w:t>organizate</w:t>
      </w:r>
      <w:proofErr w:type="spellEnd"/>
      <w:r w:rsidRPr="00475878">
        <w:rPr>
          <w:rFonts w:ascii="Trebuchet MS" w:hAnsi="Trebuchet MS"/>
          <w:sz w:val="24"/>
          <w:szCs w:val="24"/>
          <w:lang w:val="ro-RO"/>
        </w:rPr>
        <w:t xml:space="preserve"> în cadrul proiectului </w:t>
      </w:r>
      <w:r w:rsidRPr="00475878">
        <w:rPr>
          <w:rFonts w:ascii="Trebuchet MS" w:hAnsi="Trebuchet MS"/>
          <w:b/>
          <w:sz w:val="24"/>
          <w:szCs w:val="24"/>
          <w:lang w:val="ro-RO"/>
        </w:rPr>
        <w:t xml:space="preserve">„Servicii de consiliere juridică pentru victime ale unor abuzuri sau nereguli din </w:t>
      </w:r>
      <w:proofErr w:type="spellStart"/>
      <w:r w:rsidRPr="00475878">
        <w:rPr>
          <w:rFonts w:ascii="Trebuchet MS" w:hAnsi="Trebuchet MS"/>
          <w:b/>
          <w:sz w:val="24"/>
          <w:szCs w:val="24"/>
          <w:lang w:val="ro-RO"/>
        </w:rPr>
        <w:t>administraţie</w:t>
      </w:r>
      <w:proofErr w:type="spellEnd"/>
      <w:r w:rsidRPr="00475878">
        <w:rPr>
          <w:rFonts w:ascii="Trebuchet MS" w:hAnsi="Trebuchet MS"/>
          <w:b/>
          <w:sz w:val="24"/>
          <w:szCs w:val="24"/>
          <w:lang w:val="ro-RO"/>
        </w:rPr>
        <w:t xml:space="preserve"> </w:t>
      </w:r>
      <w:proofErr w:type="spellStart"/>
      <w:r w:rsidRPr="00475878">
        <w:rPr>
          <w:rFonts w:ascii="Trebuchet MS" w:hAnsi="Trebuchet MS"/>
          <w:b/>
          <w:sz w:val="24"/>
          <w:szCs w:val="24"/>
          <w:lang w:val="ro-RO"/>
        </w:rPr>
        <w:t>şi</w:t>
      </w:r>
      <w:proofErr w:type="spellEnd"/>
      <w:r w:rsidRPr="00475878">
        <w:rPr>
          <w:rFonts w:ascii="Trebuchet MS" w:hAnsi="Trebuchet MS"/>
          <w:b/>
          <w:sz w:val="24"/>
          <w:szCs w:val="24"/>
          <w:lang w:val="ro-RO"/>
        </w:rPr>
        <w:t xml:space="preserve"> </w:t>
      </w:r>
      <w:proofErr w:type="spellStart"/>
      <w:r w:rsidRPr="00475878">
        <w:rPr>
          <w:rFonts w:ascii="Trebuchet MS" w:hAnsi="Trebuchet MS"/>
          <w:b/>
          <w:sz w:val="24"/>
          <w:szCs w:val="24"/>
          <w:lang w:val="ro-RO"/>
        </w:rPr>
        <w:t>justiţie</w:t>
      </w:r>
      <w:proofErr w:type="spellEnd"/>
      <w:r w:rsidRPr="00475878">
        <w:rPr>
          <w:rFonts w:ascii="Trebuchet MS" w:hAnsi="Trebuchet MS"/>
          <w:b/>
          <w:sz w:val="24"/>
          <w:szCs w:val="24"/>
          <w:lang w:val="ro-RO"/>
        </w:rPr>
        <w:t>”</w:t>
      </w:r>
      <w:r w:rsidRPr="00475878">
        <w:rPr>
          <w:rFonts w:ascii="Trebuchet MS" w:hAnsi="Trebuchet MS"/>
          <w:sz w:val="24"/>
          <w:szCs w:val="24"/>
          <w:lang w:val="ro-RO"/>
        </w:rPr>
        <w:t xml:space="preserve">, cod </w:t>
      </w:r>
      <w:proofErr w:type="spellStart"/>
      <w:r w:rsidRPr="00475878">
        <w:rPr>
          <w:rFonts w:ascii="Trebuchet MS" w:hAnsi="Trebuchet MS"/>
          <w:sz w:val="24"/>
          <w:szCs w:val="24"/>
          <w:lang w:val="ro-RO"/>
        </w:rPr>
        <w:t>MySMIS</w:t>
      </w:r>
      <w:proofErr w:type="spellEnd"/>
      <w:r w:rsidRPr="00475878">
        <w:rPr>
          <w:rFonts w:ascii="Trebuchet MS" w:hAnsi="Trebuchet MS"/>
          <w:sz w:val="24"/>
          <w:szCs w:val="24"/>
          <w:lang w:val="ro-RO"/>
        </w:rPr>
        <w:t>: 111830 / cod proiect: SIPOCA377.</w:t>
      </w:r>
    </w:p>
    <w:p w:rsidR="008F6BB8" w:rsidRPr="00475878" w:rsidRDefault="008F6BB8" w:rsidP="00D44431">
      <w:pPr>
        <w:jc w:val="both"/>
        <w:rPr>
          <w:rFonts w:ascii="Trebuchet MS" w:hAnsi="Trebuchet MS"/>
          <w:sz w:val="24"/>
          <w:szCs w:val="24"/>
          <w:lang w:val="ro-RO"/>
        </w:rPr>
      </w:pPr>
    </w:p>
    <w:p w:rsidR="008F6BB8" w:rsidRPr="00475878" w:rsidRDefault="008F6BB8" w:rsidP="00D44431">
      <w:pPr>
        <w:jc w:val="both"/>
        <w:rPr>
          <w:rFonts w:ascii="Trebuchet MS" w:hAnsi="Trebuchet MS"/>
          <w:sz w:val="24"/>
          <w:szCs w:val="24"/>
          <w:lang w:val="ro-RO"/>
        </w:rPr>
      </w:pPr>
      <w:r w:rsidRPr="00475878">
        <w:rPr>
          <w:rFonts w:ascii="Trebuchet MS" w:hAnsi="Trebuchet MS"/>
          <w:sz w:val="24"/>
          <w:szCs w:val="24"/>
          <w:lang w:val="ro-RO"/>
        </w:rPr>
        <w:t>Cursul</w:t>
      </w:r>
      <w:r w:rsidR="00EA332B" w:rsidRPr="00475878">
        <w:rPr>
          <w:rFonts w:ascii="Trebuchet MS" w:hAnsi="Trebuchet MS"/>
          <w:sz w:val="24"/>
          <w:szCs w:val="24"/>
          <w:lang w:val="ro-RO"/>
        </w:rPr>
        <w:t xml:space="preserve"> cu titlul </w:t>
      </w:r>
      <w:r w:rsidR="00EA332B" w:rsidRPr="00475878">
        <w:rPr>
          <w:rFonts w:ascii="Trebuchet MS" w:hAnsi="Trebuchet MS"/>
          <w:i/>
          <w:sz w:val="24"/>
          <w:szCs w:val="24"/>
          <w:lang w:val="ro-RO"/>
        </w:rPr>
        <w:t>„Aspecte teoretice şi practice privind justiţia drepturilor şi libertăţilor fundamentale. Particularităţi ale grupurilor vulnerabile</w:t>
      </w:r>
      <w:r w:rsidR="00EA332B" w:rsidRPr="00475878">
        <w:rPr>
          <w:rFonts w:ascii="Trebuchet MS" w:hAnsi="Trebuchet MS"/>
          <w:i/>
          <w:sz w:val="24"/>
          <w:szCs w:val="24"/>
        </w:rPr>
        <w:t>”</w:t>
      </w:r>
      <w:r w:rsidR="00EA332B" w:rsidRPr="00475878">
        <w:rPr>
          <w:rFonts w:ascii="Trebuchet MS" w:hAnsi="Trebuchet MS"/>
          <w:sz w:val="24"/>
          <w:szCs w:val="24"/>
          <w:lang w:val="ro-RO"/>
        </w:rPr>
        <w:t xml:space="preserve"> </w:t>
      </w:r>
      <w:r w:rsidRPr="00475878">
        <w:rPr>
          <w:rFonts w:ascii="Trebuchet MS" w:hAnsi="Trebuchet MS"/>
          <w:sz w:val="24"/>
          <w:szCs w:val="24"/>
          <w:lang w:val="ro-RO"/>
        </w:rPr>
        <w:t>propune o abordare integ</w:t>
      </w:r>
      <w:r w:rsidR="00D44431" w:rsidRPr="00475878">
        <w:rPr>
          <w:rFonts w:ascii="Trebuchet MS" w:hAnsi="Trebuchet MS"/>
          <w:sz w:val="24"/>
          <w:szCs w:val="24"/>
          <w:lang w:val="ro-RO"/>
        </w:rPr>
        <w:t xml:space="preserve">rată a dreptului fundamental, </w:t>
      </w:r>
      <w:r w:rsidRPr="00475878">
        <w:rPr>
          <w:rFonts w:ascii="Trebuchet MS" w:hAnsi="Trebuchet MS"/>
          <w:sz w:val="24"/>
          <w:szCs w:val="24"/>
          <w:lang w:val="ro-RO"/>
        </w:rPr>
        <w:t>acces</w:t>
      </w:r>
      <w:r w:rsidR="00EA332B" w:rsidRPr="00475878">
        <w:rPr>
          <w:rFonts w:ascii="Trebuchet MS" w:hAnsi="Trebuchet MS"/>
          <w:sz w:val="24"/>
          <w:szCs w:val="24"/>
          <w:lang w:val="ro-RO"/>
        </w:rPr>
        <w:t>ul</w:t>
      </w:r>
      <w:r w:rsidRPr="00475878">
        <w:rPr>
          <w:rFonts w:ascii="Trebuchet MS" w:hAnsi="Trebuchet MS"/>
          <w:sz w:val="24"/>
          <w:szCs w:val="24"/>
          <w:lang w:val="ro-RO"/>
        </w:rPr>
        <w:t xml:space="preserve"> la just</w:t>
      </w:r>
      <w:r w:rsidR="00D44431" w:rsidRPr="00475878">
        <w:rPr>
          <w:rFonts w:ascii="Trebuchet MS" w:hAnsi="Trebuchet MS"/>
          <w:sz w:val="24"/>
          <w:szCs w:val="24"/>
          <w:lang w:val="ro-RO"/>
        </w:rPr>
        <w:t>i</w:t>
      </w:r>
      <w:r w:rsidRPr="00475878">
        <w:rPr>
          <w:rFonts w:ascii="Trebuchet MS" w:hAnsi="Trebuchet MS"/>
          <w:sz w:val="24"/>
          <w:szCs w:val="24"/>
          <w:lang w:val="ro-RO"/>
        </w:rPr>
        <w:t>ţie</w:t>
      </w:r>
      <w:r w:rsidR="00A9195D" w:rsidRPr="00475878">
        <w:rPr>
          <w:rFonts w:ascii="Trebuchet MS" w:hAnsi="Trebuchet MS"/>
          <w:sz w:val="24"/>
          <w:szCs w:val="24"/>
          <w:lang w:val="ro-RO"/>
        </w:rPr>
        <w:t xml:space="preserve"> din perspectiva</w:t>
      </w:r>
      <w:r w:rsidRPr="00475878">
        <w:rPr>
          <w:rFonts w:ascii="Trebuchet MS" w:hAnsi="Trebuchet MS"/>
          <w:sz w:val="24"/>
          <w:szCs w:val="24"/>
          <w:lang w:val="ro-RO"/>
        </w:rPr>
        <w:t xml:space="preserve"> no</w:t>
      </w:r>
      <w:r w:rsidR="00D44431" w:rsidRPr="00475878">
        <w:rPr>
          <w:rFonts w:ascii="Trebuchet MS" w:hAnsi="Trebuchet MS"/>
          <w:sz w:val="24"/>
          <w:szCs w:val="24"/>
          <w:lang w:val="ro-RO"/>
        </w:rPr>
        <w:t>r</w:t>
      </w:r>
      <w:r w:rsidRPr="00475878">
        <w:rPr>
          <w:rFonts w:ascii="Trebuchet MS" w:hAnsi="Trebuchet MS"/>
          <w:sz w:val="24"/>
          <w:szCs w:val="24"/>
          <w:lang w:val="ro-RO"/>
        </w:rPr>
        <w:t>melor internaţionale şi europene, a normelor dreptului constituţional, a legislaţiei subsecvente în domeniul drepturilor omului, a jurisprudenţei CEDO precum şi a Curţii Constituţionale</w:t>
      </w:r>
      <w:r w:rsidR="00D44431" w:rsidRPr="00475878">
        <w:rPr>
          <w:rFonts w:ascii="Trebuchet MS" w:hAnsi="Trebuchet MS"/>
          <w:sz w:val="24"/>
          <w:szCs w:val="24"/>
          <w:lang w:val="ro-RO"/>
        </w:rPr>
        <w:t>,</w:t>
      </w:r>
      <w:r w:rsidRPr="00475878">
        <w:rPr>
          <w:rFonts w:ascii="Trebuchet MS" w:hAnsi="Trebuchet MS"/>
          <w:sz w:val="24"/>
          <w:szCs w:val="24"/>
          <w:lang w:val="ro-RO"/>
        </w:rPr>
        <w:t xml:space="preserve"> cu predilecţie în cazul grupurilor vulnerabile.</w:t>
      </w:r>
    </w:p>
    <w:p w:rsidR="008F6BB8" w:rsidRPr="00475878" w:rsidRDefault="008F6BB8" w:rsidP="00600DBE">
      <w:pPr>
        <w:shd w:val="clear" w:color="auto" w:fill="95B3D7" w:themeFill="accent1" w:themeFillTint="99"/>
        <w:jc w:val="both"/>
        <w:rPr>
          <w:rFonts w:ascii="Trebuchet MS" w:hAnsi="Trebuchet MS"/>
          <w:b/>
          <w:sz w:val="24"/>
          <w:szCs w:val="24"/>
          <w:lang w:val="ro-RO"/>
        </w:rPr>
      </w:pPr>
      <w:r w:rsidRPr="00475878">
        <w:rPr>
          <w:rFonts w:ascii="Trebuchet MS" w:hAnsi="Trebuchet MS"/>
          <w:b/>
          <w:sz w:val="24"/>
          <w:szCs w:val="24"/>
          <w:lang w:val="ro-RO"/>
        </w:rPr>
        <w:t xml:space="preserve">Tematica </w:t>
      </w:r>
    </w:p>
    <w:p w:rsidR="008F6BB8" w:rsidRPr="00475878" w:rsidRDefault="008F6BB8" w:rsidP="00EA332B">
      <w:pPr>
        <w:pStyle w:val="Listparagraf"/>
        <w:numPr>
          <w:ilvl w:val="0"/>
          <w:numId w:val="1"/>
        </w:numPr>
        <w:jc w:val="both"/>
        <w:rPr>
          <w:rFonts w:ascii="Trebuchet MS" w:hAnsi="Trebuchet MS"/>
          <w:sz w:val="24"/>
          <w:szCs w:val="24"/>
          <w:lang w:val="ro-RO"/>
        </w:rPr>
      </w:pPr>
      <w:r w:rsidRPr="00475878">
        <w:rPr>
          <w:rFonts w:ascii="Trebuchet MS" w:hAnsi="Trebuchet MS"/>
          <w:sz w:val="24"/>
          <w:szCs w:val="24"/>
          <w:lang w:val="ro-RO"/>
        </w:rPr>
        <w:t>Caracterul universal al drepturilor omului</w:t>
      </w:r>
      <w:r w:rsidR="00D44431" w:rsidRPr="00475878">
        <w:rPr>
          <w:rFonts w:ascii="Trebuchet MS" w:hAnsi="Trebuchet MS"/>
          <w:sz w:val="24"/>
          <w:szCs w:val="24"/>
          <w:lang w:val="ro-RO"/>
        </w:rPr>
        <w:t xml:space="preserve"> </w:t>
      </w:r>
      <w:r w:rsidRPr="00475878">
        <w:rPr>
          <w:rFonts w:ascii="Trebuchet MS" w:hAnsi="Trebuchet MS"/>
          <w:sz w:val="24"/>
          <w:szCs w:val="24"/>
          <w:lang w:val="ro-RO"/>
        </w:rPr>
        <w:t>- evoluţie istorică şi constituţională</w:t>
      </w:r>
    </w:p>
    <w:p w:rsidR="008F6BB8" w:rsidRPr="00475878" w:rsidRDefault="008F6BB8" w:rsidP="00EA332B">
      <w:pPr>
        <w:pStyle w:val="Listparagraf"/>
        <w:numPr>
          <w:ilvl w:val="0"/>
          <w:numId w:val="1"/>
        </w:numPr>
        <w:jc w:val="both"/>
        <w:rPr>
          <w:rFonts w:ascii="Trebuchet MS" w:hAnsi="Trebuchet MS"/>
          <w:sz w:val="24"/>
          <w:szCs w:val="24"/>
          <w:lang w:val="ro-RO"/>
        </w:rPr>
      </w:pPr>
      <w:r w:rsidRPr="00475878">
        <w:rPr>
          <w:rFonts w:ascii="Trebuchet MS" w:hAnsi="Trebuchet MS"/>
          <w:sz w:val="24"/>
          <w:szCs w:val="24"/>
          <w:lang w:val="ro-RO"/>
        </w:rPr>
        <w:t>Accesul la justiţie</w:t>
      </w:r>
      <w:r w:rsidR="00D44431" w:rsidRPr="00475878">
        <w:rPr>
          <w:rFonts w:ascii="Trebuchet MS" w:hAnsi="Trebuchet MS"/>
          <w:sz w:val="24"/>
          <w:szCs w:val="24"/>
          <w:lang w:val="ro-RO"/>
        </w:rPr>
        <w:t xml:space="preserve"> </w:t>
      </w:r>
      <w:r w:rsidRPr="00475878">
        <w:rPr>
          <w:rFonts w:ascii="Trebuchet MS" w:hAnsi="Trebuchet MS"/>
          <w:sz w:val="24"/>
          <w:szCs w:val="24"/>
          <w:lang w:val="ro-RO"/>
        </w:rPr>
        <w:t>- principiu constituţional fundamental</w:t>
      </w:r>
    </w:p>
    <w:p w:rsidR="008F6BB8" w:rsidRPr="00475878" w:rsidRDefault="008F6BB8" w:rsidP="00EA332B">
      <w:pPr>
        <w:pStyle w:val="Listparagraf"/>
        <w:numPr>
          <w:ilvl w:val="0"/>
          <w:numId w:val="1"/>
        </w:numPr>
        <w:jc w:val="both"/>
        <w:rPr>
          <w:rFonts w:ascii="Trebuchet MS" w:hAnsi="Trebuchet MS"/>
          <w:sz w:val="24"/>
          <w:szCs w:val="24"/>
          <w:lang w:val="ro-RO"/>
        </w:rPr>
      </w:pPr>
      <w:r w:rsidRPr="00475878">
        <w:rPr>
          <w:rFonts w:ascii="Trebuchet MS" w:hAnsi="Trebuchet MS"/>
          <w:sz w:val="24"/>
          <w:szCs w:val="24"/>
          <w:lang w:val="ro-RO"/>
        </w:rPr>
        <w:t>Cadrul normativ internaţional, european şi naţional de protecţie juridică a grupurilor vulnerabile</w:t>
      </w:r>
      <w:r w:rsidR="00D44431" w:rsidRPr="00475878">
        <w:rPr>
          <w:rFonts w:ascii="Trebuchet MS" w:hAnsi="Trebuchet MS"/>
          <w:sz w:val="24"/>
          <w:szCs w:val="24"/>
          <w:lang w:val="ro-RO"/>
        </w:rPr>
        <w:t>,</w:t>
      </w:r>
      <w:r w:rsidRPr="00475878">
        <w:rPr>
          <w:rFonts w:ascii="Trebuchet MS" w:hAnsi="Trebuchet MS"/>
          <w:sz w:val="24"/>
          <w:szCs w:val="24"/>
          <w:lang w:val="ro-RO"/>
        </w:rPr>
        <w:t xml:space="preserve"> mecanisme de protecţie </w:t>
      </w:r>
    </w:p>
    <w:p w:rsidR="008F6BB8" w:rsidRPr="00475878" w:rsidRDefault="008F6BB8" w:rsidP="00EA332B">
      <w:pPr>
        <w:pStyle w:val="Listparagraf"/>
        <w:numPr>
          <w:ilvl w:val="0"/>
          <w:numId w:val="1"/>
        </w:numPr>
        <w:jc w:val="both"/>
        <w:rPr>
          <w:rFonts w:ascii="Trebuchet MS" w:hAnsi="Trebuchet MS"/>
          <w:sz w:val="24"/>
          <w:szCs w:val="24"/>
          <w:lang w:val="ro-RO"/>
        </w:rPr>
      </w:pPr>
      <w:r w:rsidRPr="00475878">
        <w:rPr>
          <w:rFonts w:ascii="Trebuchet MS" w:hAnsi="Trebuchet MS"/>
          <w:sz w:val="24"/>
          <w:szCs w:val="24"/>
          <w:lang w:val="ro-RO"/>
        </w:rPr>
        <w:t xml:space="preserve">Proceduri şi căi de atac interne şi internaţionale în justiţia protecţiei drepturilor omului </w:t>
      </w:r>
    </w:p>
    <w:p w:rsidR="008F6BB8" w:rsidRPr="00475878" w:rsidRDefault="008F6BB8" w:rsidP="00EA332B">
      <w:pPr>
        <w:pStyle w:val="Listparagraf"/>
        <w:numPr>
          <w:ilvl w:val="0"/>
          <w:numId w:val="1"/>
        </w:numPr>
        <w:jc w:val="both"/>
        <w:rPr>
          <w:rFonts w:ascii="Trebuchet MS" w:hAnsi="Trebuchet MS"/>
          <w:sz w:val="24"/>
          <w:szCs w:val="24"/>
          <w:lang w:val="ro-RO"/>
        </w:rPr>
      </w:pPr>
      <w:r w:rsidRPr="00475878">
        <w:rPr>
          <w:rFonts w:ascii="Trebuchet MS" w:hAnsi="Trebuchet MS"/>
          <w:sz w:val="24"/>
          <w:szCs w:val="24"/>
          <w:lang w:val="ro-RO"/>
        </w:rPr>
        <w:t>Justiţia</w:t>
      </w:r>
      <w:r w:rsidR="00D44431" w:rsidRPr="00475878">
        <w:rPr>
          <w:rFonts w:ascii="Trebuchet MS" w:hAnsi="Trebuchet MS"/>
          <w:sz w:val="24"/>
          <w:szCs w:val="24"/>
          <w:lang w:val="ro-RO"/>
        </w:rPr>
        <w:t xml:space="preserve"> </w:t>
      </w:r>
      <w:r w:rsidRPr="00475878">
        <w:rPr>
          <w:rFonts w:ascii="Trebuchet MS" w:hAnsi="Trebuchet MS"/>
          <w:sz w:val="24"/>
          <w:szCs w:val="24"/>
          <w:lang w:val="ro-RO"/>
        </w:rPr>
        <w:t xml:space="preserve">- instrument de aplicare a dreptului versus mediator </w:t>
      </w:r>
      <w:r w:rsidR="000D26AC" w:rsidRPr="00475878">
        <w:rPr>
          <w:rFonts w:ascii="Trebuchet MS" w:hAnsi="Trebuchet MS"/>
          <w:sz w:val="24"/>
          <w:szCs w:val="24"/>
          <w:lang w:val="ro-RO"/>
        </w:rPr>
        <w:t>î</w:t>
      </w:r>
      <w:r w:rsidRPr="00475878">
        <w:rPr>
          <w:rFonts w:ascii="Trebuchet MS" w:hAnsi="Trebuchet MS"/>
          <w:sz w:val="24"/>
          <w:szCs w:val="24"/>
          <w:lang w:val="ro-RO"/>
        </w:rPr>
        <w:t>ntre stat şi societate</w:t>
      </w:r>
    </w:p>
    <w:p w:rsidR="008F6BB8" w:rsidRPr="00475878" w:rsidRDefault="008F6BB8" w:rsidP="00EA332B">
      <w:pPr>
        <w:pStyle w:val="Listparagraf"/>
        <w:numPr>
          <w:ilvl w:val="0"/>
          <w:numId w:val="1"/>
        </w:numPr>
        <w:jc w:val="both"/>
        <w:rPr>
          <w:rFonts w:ascii="Trebuchet MS" w:hAnsi="Trebuchet MS"/>
          <w:sz w:val="24"/>
          <w:szCs w:val="24"/>
          <w:lang w:val="ro-RO"/>
        </w:rPr>
      </w:pPr>
      <w:r w:rsidRPr="00475878">
        <w:rPr>
          <w:rFonts w:ascii="Trebuchet MS" w:hAnsi="Trebuchet MS"/>
          <w:sz w:val="24"/>
          <w:szCs w:val="24"/>
          <w:lang w:val="ro-RO"/>
        </w:rPr>
        <w:t>Jurisprudenţă CEDO</w:t>
      </w:r>
    </w:p>
    <w:p w:rsidR="008F6BB8" w:rsidRPr="00475878" w:rsidRDefault="00EA332B" w:rsidP="00D44431">
      <w:pPr>
        <w:jc w:val="both"/>
        <w:rPr>
          <w:rFonts w:ascii="Trebuchet MS" w:hAnsi="Trebuchet MS"/>
          <w:sz w:val="24"/>
          <w:szCs w:val="24"/>
          <w:lang w:val="ro-RO"/>
        </w:rPr>
      </w:pPr>
      <w:r w:rsidRPr="00475878">
        <w:rPr>
          <w:rFonts w:ascii="Trebuchet MS" w:hAnsi="Trebuchet MS"/>
          <w:sz w:val="24"/>
          <w:szCs w:val="24"/>
          <w:lang w:val="ro-RO"/>
        </w:rPr>
        <w:t>Prin acest curs de formare profesională</w:t>
      </w:r>
      <w:r w:rsidRPr="00475878">
        <w:rPr>
          <w:rFonts w:ascii="Trebuchet MS" w:hAnsi="Trebuchet MS"/>
          <w:sz w:val="24"/>
          <w:szCs w:val="24"/>
        </w:rPr>
        <w:t>/</w:t>
      </w:r>
      <w:r w:rsidRPr="00475878">
        <w:rPr>
          <w:rFonts w:ascii="Trebuchet MS" w:hAnsi="Trebuchet MS"/>
          <w:sz w:val="24"/>
          <w:szCs w:val="24"/>
          <w:lang w:val="ro-RO"/>
        </w:rPr>
        <w:t>perfecţionare se are în vedere</w:t>
      </w:r>
      <w:r w:rsidR="00153934" w:rsidRPr="00475878">
        <w:rPr>
          <w:rFonts w:ascii="Trebuchet MS" w:hAnsi="Trebuchet MS"/>
          <w:sz w:val="24"/>
          <w:szCs w:val="24"/>
          <w:lang w:val="ro-RO"/>
        </w:rPr>
        <w:t xml:space="preserve"> dezvoltarea unor competen</w:t>
      </w:r>
      <w:r w:rsidR="00D44431" w:rsidRPr="00475878">
        <w:rPr>
          <w:rFonts w:ascii="Trebuchet MS" w:hAnsi="Trebuchet MS"/>
          <w:sz w:val="24"/>
          <w:szCs w:val="24"/>
          <w:lang w:val="ro-RO"/>
        </w:rPr>
        <w:t>ţ</w:t>
      </w:r>
      <w:r w:rsidR="00153934" w:rsidRPr="00475878">
        <w:rPr>
          <w:rFonts w:ascii="Trebuchet MS" w:hAnsi="Trebuchet MS"/>
          <w:sz w:val="24"/>
          <w:szCs w:val="24"/>
          <w:lang w:val="ro-RO"/>
        </w:rPr>
        <w:t>e transversale de lucru cu grupuri vulnerabile în contextul foarte specific al asisten</w:t>
      </w:r>
      <w:r w:rsidR="00D44431" w:rsidRPr="00475878">
        <w:rPr>
          <w:rFonts w:ascii="Trebuchet MS" w:hAnsi="Trebuchet MS"/>
          <w:sz w:val="24"/>
          <w:szCs w:val="24"/>
          <w:lang w:val="ro-RO"/>
        </w:rPr>
        <w:t>ţ</w:t>
      </w:r>
      <w:r w:rsidR="00153934" w:rsidRPr="00475878">
        <w:rPr>
          <w:rFonts w:ascii="Trebuchet MS" w:hAnsi="Trebuchet MS"/>
          <w:sz w:val="24"/>
          <w:szCs w:val="24"/>
          <w:lang w:val="ro-RO"/>
        </w:rPr>
        <w:t>ei si consilierii juridice</w:t>
      </w:r>
      <w:r w:rsidR="00D44431" w:rsidRPr="00475878">
        <w:rPr>
          <w:rFonts w:ascii="Trebuchet MS" w:hAnsi="Trebuchet MS"/>
          <w:sz w:val="24"/>
          <w:szCs w:val="24"/>
          <w:lang w:val="ro-RO"/>
        </w:rPr>
        <w:t>.</w:t>
      </w:r>
    </w:p>
    <w:p w:rsidR="008F6BB8" w:rsidRPr="00475878" w:rsidRDefault="000D26AC" w:rsidP="00D44431">
      <w:pPr>
        <w:jc w:val="both"/>
        <w:rPr>
          <w:rFonts w:ascii="Trebuchet MS" w:hAnsi="Trebuchet MS"/>
          <w:b/>
          <w:sz w:val="24"/>
          <w:szCs w:val="24"/>
          <w:lang w:val="ro-RO"/>
        </w:rPr>
      </w:pPr>
      <w:r w:rsidRPr="00475878">
        <w:rPr>
          <w:rFonts w:ascii="Trebuchet MS" w:hAnsi="Trebuchet MS"/>
          <w:b/>
          <w:sz w:val="24"/>
          <w:szCs w:val="24"/>
          <w:lang w:val="ro-RO"/>
        </w:rPr>
        <w:lastRenderedPageBreak/>
        <w:t>Durata curs:</w:t>
      </w:r>
      <w:r w:rsidR="00D44431" w:rsidRPr="00475878">
        <w:rPr>
          <w:rFonts w:ascii="Trebuchet MS" w:hAnsi="Trebuchet MS"/>
          <w:b/>
          <w:sz w:val="24"/>
          <w:szCs w:val="24"/>
          <w:lang w:val="ro-RO"/>
        </w:rPr>
        <w:t xml:space="preserve"> </w:t>
      </w:r>
      <w:r w:rsidR="008C6D55" w:rsidRPr="00475878">
        <w:rPr>
          <w:rFonts w:ascii="Trebuchet MS" w:hAnsi="Trebuchet MS"/>
          <w:b/>
          <w:sz w:val="24"/>
          <w:szCs w:val="24"/>
          <w:lang w:val="ro-RO"/>
        </w:rPr>
        <w:t>5</w:t>
      </w:r>
      <w:r w:rsidR="00D44431" w:rsidRPr="00475878">
        <w:rPr>
          <w:rFonts w:ascii="Trebuchet MS" w:hAnsi="Trebuchet MS"/>
          <w:b/>
          <w:sz w:val="24"/>
          <w:szCs w:val="24"/>
          <w:lang w:val="ro-RO"/>
        </w:rPr>
        <w:t xml:space="preserve"> zile</w:t>
      </w:r>
      <w:r w:rsidR="008C6D55" w:rsidRPr="00475878">
        <w:rPr>
          <w:rFonts w:ascii="Trebuchet MS" w:hAnsi="Trebuchet MS"/>
          <w:b/>
          <w:sz w:val="24"/>
          <w:szCs w:val="24"/>
          <w:lang w:val="ro-RO"/>
        </w:rPr>
        <w:t xml:space="preserve"> </w:t>
      </w:r>
    </w:p>
    <w:p w:rsidR="00863B40" w:rsidRPr="00D44431" w:rsidRDefault="00863B40" w:rsidP="00600DBE">
      <w:pPr>
        <w:shd w:val="clear" w:color="auto" w:fill="95B3D7" w:themeFill="accent1" w:themeFillTint="99"/>
        <w:jc w:val="both"/>
        <w:rPr>
          <w:rFonts w:ascii="Trebuchet MS" w:hAnsi="Trebuchet MS"/>
          <w:b/>
          <w:lang w:val="ro-RO"/>
        </w:rPr>
      </w:pPr>
      <w:r>
        <w:rPr>
          <w:rFonts w:ascii="Trebuchet MS" w:hAnsi="Trebuchet MS"/>
          <w:b/>
          <w:lang w:val="ro-RO"/>
        </w:rPr>
        <w:t>Perioada şi locul de desfăşurare</w:t>
      </w:r>
    </w:p>
    <w:tbl>
      <w:tblPr>
        <w:tblStyle w:val="Tabelgril"/>
        <w:tblW w:w="0" w:type="auto"/>
        <w:tblInd w:w="108" w:type="dxa"/>
        <w:tblLook w:val="04A0" w:firstRow="1" w:lastRow="0" w:firstColumn="1" w:lastColumn="0" w:noHBand="0" w:noVBand="1"/>
      </w:tblPr>
      <w:tblGrid>
        <w:gridCol w:w="3084"/>
        <w:gridCol w:w="3192"/>
        <w:gridCol w:w="3084"/>
      </w:tblGrid>
      <w:tr w:rsidR="00863B40" w:rsidTr="008B548E">
        <w:tc>
          <w:tcPr>
            <w:tcW w:w="3084" w:type="dxa"/>
          </w:tcPr>
          <w:p w:rsidR="00863B40" w:rsidRPr="00D53ED9" w:rsidRDefault="00863B40" w:rsidP="00D44431">
            <w:pPr>
              <w:jc w:val="both"/>
              <w:rPr>
                <w:rFonts w:ascii="Trebuchet MS" w:hAnsi="Trebuchet MS"/>
                <w:b/>
                <w:lang w:val="ro-RO"/>
              </w:rPr>
            </w:pPr>
            <w:r w:rsidRPr="00D53ED9">
              <w:rPr>
                <w:rFonts w:ascii="Trebuchet MS" w:hAnsi="Trebuchet MS"/>
                <w:b/>
                <w:lang w:val="ro-RO"/>
              </w:rPr>
              <w:t>Perioada</w:t>
            </w:r>
          </w:p>
        </w:tc>
        <w:tc>
          <w:tcPr>
            <w:tcW w:w="3192" w:type="dxa"/>
          </w:tcPr>
          <w:p w:rsidR="00863B40" w:rsidRPr="00D53ED9" w:rsidRDefault="00863B40" w:rsidP="00D44431">
            <w:pPr>
              <w:jc w:val="both"/>
              <w:rPr>
                <w:rFonts w:ascii="Trebuchet MS" w:hAnsi="Trebuchet MS"/>
                <w:b/>
                <w:lang w:val="ro-RO"/>
              </w:rPr>
            </w:pPr>
            <w:r w:rsidRPr="00D53ED9">
              <w:rPr>
                <w:rFonts w:ascii="Trebuchet MS" w:hAnsi="Trebuchet MS"/>
                <w:b/>
                <w:lang w:val="ro-RO"/>
              </w:rPr>
              <w:t>Oraş</w:t>
            </w:r>
          </w:p>
        </w:tc>
        <w:tc>
          <w:tcPr>
            <w:tcW w:w="3084" w:type="dxa"/>
          </w:tcPr>
          <w:p w:rsidR="00863B40" w:rsidRPr="00D53ED9" w:rsidRDefault="00863B40" w:rsidP="00D44431">
            <w:pPr>
              <w:jc w:val="both"/>
              <w:rPr>
                <w:rFonts w:ascii="Trebuchet MS" w:hAnsi="Trebuchet MS"/>
                <w:b/>
                <w:lang w:val="ro-RO"/>
              </w:rPr>
            </w:pPr>
            <w:r w:rsidRPr="00D53ED9">
              <w:rPr>
                <w:rFonts w:ascii="Trebuchet MS" w:hAnsi="Trebuchet MS"/>
                <w:b/>
                <w:lang w:val="ro-RO"/>
              </w:rPr>
              <w:t>Adresa</w:t>
            </w:r>
          </w:p>
        </w:tc>
      </w:tr>
      <w:tr w:rsidR="00863B40" w:rsidTr="008B548E">
        <w:tc>
          <w:tcPr>
            <w:tcW w:w="3084" w:type="dxa"/>
          </w:tcPr>
          <w:p w:rsidR="00863B40" w:rsidRDefault="00863B40" w:rsidP="00D44431">
            <w:pPr>
              <w:jc w:val="both"/>
              <w:rPr>
                <w:rFonts w:ascii="Trebuchet MS" w:hAnsi="Trebuchet MS"/>
                <w:lang w:val="ro-RO"/>
              </w:rPr>
            </w:pPr>
            <w:r>
              <w:rPr>
                <w:rFonts w:ascii="Trebuchet MS" w:hAnsi="Trebuchet MS"/>
                <w:lang w:val="ro-RO"/>
              </w:rPr>
              <w:t>13 – 17 aprilie</w:t>
            </w:r>
            <w:r w:rsidR="00A9195D">
              <w:rPr>
                <w:rFonts w:ascii="Trebuchet MS" w:hAnsi="Trebuchet MS"/>
                <w:lang w:val="ro-RO"/>
              </w:rPr>
              <w:t xml:space="preserve"> 2019</w:t>
            </w:r>
          </w:p>
        </w:tc>
        <w:tc>
          <w:tcPr>
            <w:tcW w:w="3192" w:type="dxa"/>
          </w:tcPr>
          <w:p w:rsidR="00863B40" w:rsidRDefault="00863B40" w:rsidP="00D44431">
            <w:pPr>
              <w:jc w:val="both"/>
              <w:rPr>
                <w:rFonts w:ascii="Trebuchet MS" w:hAnsi="Trebuchet MS"/>
                <w:lang w:val="ro-RO"/>
              </w:rPr>
            </w:pPr>
            <w:r>
              <w:rPr>
                <w:rFonts w:ascii="Trebuchet MS" w:hAnsi="Trebuchet MS"/>
                <w:lang w:val="ro-RO"/>
              </w:rPr>
              <w:t>SIBIU</w:t>
            </w:r>
          </w:p>
        </w:tc>
        <w:tc>
          <w:tcPr>
            <w:tcW w:w="3084" w:type="dxa"/>
          </w:tcPr>
          <w:p w:rsidR="00863B40" w:rsidRDefault="00863B40" w:rsidP="00D44431">
            <w:pPr>
              <w:jc w:val="both"/>
              <w:rPr>
                <w:rFonts w:ascii="Trebuchet MS" w:hAnsi="Trebuchet MS"/>
                <w:lang w:val="ro-RO"/>
              </w:rPr>
            </w:pPr>
          </w:p>
        </w:tc>
      </w:tr>
      <w:tr w:rsidR="00863B40" w:rsidTr="008B548E">
        <w:tc>
          <w:tcPr>
            <w:tcW w:w="3084" w:type="dxa"/>
          </w:tcPr>
          <w:p w:rsidR="00863B40" w:rsidRDefault="00863B40" w:rsidP="00D44431">
            <w:pPr>
              <w:jc w:val="both"/>
              <w:rPr>
                <w:rFonts w:ascii="Trebuchet MS" w:hAnsi="Trebuchet MS"/>
                <w:lang w:val="ro-RO"/>
              </w:rPr>
            </w:pPr>
            <w:r>
              <w:rPr>
                <w:rFonts w:ascii="Trebuchet MS" w:hAnsi="Trebuchet MS"/>
                <w:lang w:val="ro-RO"/>
              </w:rPr>
              <w:t>15 – 19 mai</w:t>
            </w:r>
            <w:r w:rsidR="00A9195D">
              <w:rPr>
                <w:rFonts w:ascii="Trebuchet MS" w:hAnsi="Trebuchet MS"/>
                <w:lang w:val="ro-RO"/>
              </w:rPr>
              <w:t xml:space="preserve"> 2019</w:t>
            </w:r>
          </w:p>
        </w:tc>
        <w:tc>
          <w:tcPr>
            <w:tcW w:w="3192" w:type="dxa"/>
          </w:tcPr>
          <w:p w:rsidR="00863B40" w:rsidRDefault="00863B40" w:rsidP="00D44431">
            <w:pPr>
              <w:jc w:val="both"/>
              <w:rPr>
                <w:rFonts w:ascii="Trebuchet MS" w:hAnsi="Trebuchet MS"/>
                <w:lang w:val="ro-RO"/>
              </w:rPr>
            </w:pPr>
            <w:r>
              <w:rPr>
                <w:rFonts w:ascii="Trebuchet MS" w:hAnsi="Trebuchet MS"/>
                <w:lang w:val="ro-RO"/>
              </w:rPr>
              <w:t>CRAIOVA</w:t>
            </w:r>
          </w:p>
        </w:tc>
        <w:tc>
          <w:tcPr>
            <w:tcW w:w="3084" w:type="dxa"/>
          </w:tcPr>
          <w:p w:rsidR="00863B40" w:rsidRDefault="00863B40" w:rsidP="00D44431">
            <w:pPr>
              <w:jc w:val="both"/>
              <w:rPr>
                <w:rFonts w:ascii="Trebuchet MS" w:hAnsi="Trebuchet MS"/>
                <w:lang w:val="ro-RO"/>
              </w:rPr>
            </w:pPr>
          </w:p>
        </w:tc>
      </w:tr>
      <w:tr w:rsidR="00863B40" w:rsidTr="008B548E">
        <w:tc>
          <w:tcPr>
            <w:tcW w:w="3084" w:type="dxa"/>
          </w:tcPr>
          <w:p w:rsidR="00863B40" w:rsidRDefault="00863B40" w:rsidP="00D53ED9">
            <w:pPr>
              <w:jc w:val="both"/>
              <w:rPr>
                <w:rFonts w:ascii="Trebuchet MS" w:hAnsi="Trebuchet MS"/>
                <w:lang w:val="ro-RO"/>
              </w:rPr>
            </w:pPr>
            <w:r>
              <w:rPr>
                <w:rFonts w:ascii="Trebuchet MS" w:hAnsi="Trebuchet MS"/>
                <w:lang w:val="ro-RO"/>
              </w:rPr>
              <w:t xml:space="preserve">12 – 16 </w:t>
            </w:r>
            <w:r w:rsidR="00D53ED9">
              <w:rPr>
                <w:rFonts w:ascii="Trebuchet MS" w:hAnsi="Trebuchet MS"/>
                <w:lang w:val="ro-RO"/>
              </w:rPr>
              <w:t>iunie</w:t>
            </w:r>
            <w:r w:rsidR="00A9195D">
              <w:rPr>
                <w:rFonts w:ascii="Trebuchet MS" w:hAnsi="Trebuchet MS"/>
                <w:lang w:val="ro-RO"/>
              </w:rPr>
              <w:t xml:space="preserve"> 2019</w:t>
            </w:r>
          </w:p>
        </w:tc>
        <w:tc>
          <w:tcPr>
            <w:tcW w:w="3192" w:type="dxa"/>
          </w:tcPr>
          <w:p w:rsidR="00863B40" w:rsidRDefault="00863B40" w:rsidP="00D44431">
            <w:pPr>
              <w:jc w:val="both"/>
              <w:rPr>
                <w:rFonts w:ascii="Trebuchet MS" w:hAnsi="Trebuchet MS"/>
                <w:lang w:val="ro-RO"/>
              </w:rPr>
            </w:pPr>
            <w:r>
              <w:rPr>
                <w:rFonts w:ascii="Trebuchet MS" w:hAnsi="Trebuchet MS"/>
                <w:lang w:val="ro-RO"/>
              </w:rPr>
              <w:t>IAŞI</w:t>
            </w:r>
          </w:p>
        </w:tc>
        <w:tc>
          <w:tcPr>
            <w:tcW w:w="3084" w:type="dxa"/>
          </w:tcPr>
          <w:p w:rsidR="00863B40" w:rsidRDefault="00863B40" w:rsidP="00D44431">
            <w:pPr>
              <w:jc w:val="both"/>
              <w:rPr>
                <w:rFonts w:ascii="Trebuchet MS" w:hAnsi="Trebuchet MS"/>
                <w:lang w:val="ro-RO"/>
              </w:rPr>
            </w:pPr>
          </w:p>
        </w:tc>
      </w:tr>
      <w:tr w:rsidR="00863B40" w:rsidTr="008B548E">
        <w:tc>
          <w:tcPr>
            <w:tcW w:w="3084" w:type="dxa"/>
          </w:tcPr>
          <w:p w:rsidR="00863B40" w:rsidRDefault="00D53ED9" w:rsidP="00D44431">
            <w:pPr>
              <w:jc w:val="both"/>
              <w:rPr>
                <w:rFonts w:ascii="Trebuchet MS" w:hAnsi="Trebuchet MS"/>
                <w:lang w:val="ro-RO"/>
              </w:rPr>
            </w:pPr>
            <w:r>
              <w:rPr>
                <w:rFonts w:ascii="Trebuchet MS" w:hAnsi="Trebuchet MS"/>
                <w:lang w:val="ro-RO"/>
              </w:rPr>
              <w:t>TBD</w:t>
            </w:r>
          </w:p>
        </w:tc>
        <w:tc>
          <w:tcPr>
            <w:tcW w:w="3192" w:type="dxa"/>
          </w:tcPr>
          <w:p w:rsidR="00863B40" w:rsidRDefault="00D53ED9" w:rsidP="00D44431">
            <w:pPr>
              <w:jc w:val="both"/>
              <w:rPr>
                <w:rFonts w:ascii="Trebuchet MS" w:hAnsi="Trebuchet MS"/>
                <w:lang w:val="ro-RO"/>
              </w:rPr>
            </w:pPr>
            <w:r>
              <w:rPr>
                <w:rFonts w:ascii="Trebuchet MS" w:hAnsi="Trebuchet MS"/>
                <w:lang w:val="ro-RO"/>
              </w:rPr>
              <w:t>TIMIŞOARA</w:t>
            </w:r>
          </w:p>
        </w:tc>
        <w:tc>
          <w:tcPr>
            <w:tcW w:w="3084" w:type="dxa"/>
          </w:tcPr>
          <w:p w:rsidR="00863B40" w:rsidRDefault="00863B40" w:rsidP="00D44431">
            <w:pPr>
              <w:jc w:val="both"/>
              <w:rPr>
                <w:rFonts w:ascii="Trebuchet MS" w:hAnsi="Trebuchet MS"/>
                <w:lang w:val="ro-RO"/>
              </w:rPr>
            </w:pPr>
          </w:p>
        </w:tc>
      </w:tr>
    </w:tbl>
    <w:p w:rsidR="008F6BB8" w:rsidRDefault="008F6BB8" w:rsidP="00D44431">
      <w:pPr>
        <w:jc w:val="both"/>
        <w:rPr>
          <w:rFonts w:ascii="Trebuchet MS" w:hAnsi="Trebuchet MS"/>
          <w:lang w:val="ro-RO"/>
        </w:rPr>
      </w:pPr>
    </w:p>
    <w:p w:rsidR="00376349" w:rsidRPr="00376349" w:rsidRDefault="00376349" w:rsidP="00600DBE">
      <w:pPr>
        <w:shd w:val="clear" w:color="auto" w:fill="95B3D7" w:themeFill="accent1" w:themeFillTint="99"/>
        <w:jc w:val="both"/>
        <w:rPr>
          <w:rFonts w:ascii="Trebuchet MS" w:hAnsi="Trebuchet MS"/>
          <w:b/>
          <w:lang w:val="ro-RO"/>
        </w:rPr>
      </w:pPr>
      <w:r w:rsidRPr="00376349">
        <w:rPr>
          <w:rFonts w:ascii="Trebuchet MS" w:hAnsi="Trebuchet MS"/>
          <w:b/>
          <w:lang w:val="ro-RO"/>
        </w:rPr>
        <w:t>Participarea este gratuită</w:t>
      </w:r>
    </w:p>
    <w:p w:rsidR="00600DBE" w:rsidRPr="004768DC" w:rsidRDefault="003840B8" w:rsidP="00376349">
      <w:pPr>
        <w:jc w:val="both"/>
        <w:rPr>
          <w:rFonts w:ascii="Trebuchet MS" w:hAnsi="Trebuchet MS"/>
          <w:sz w:val="24"/>
          <w:szCs w:val="24"/>
          <w:lang w:val="ro-RO"/>
        </w:rPr>
      </w:pPr>
      <w:r w:rsidRPr="004768DC">
        <w:rPr>
          <w:rFonts w:ascii="Trebuchet MS" w:hAnsi="Trebuchet MS"/>
          <w:sz w:val="24"/>
          <w:szCs w:val="24"/>
          <w:lang w:val="ro-RO"/>
        </w:rPr>
        <w:t xml:space="preserve">Cursul este oferit gratuit persoanelor </w:t>
      </w:r>
      <w:r w:rsidR="00376349" w:rsidRPr="004768DC">
        <w:rPr>
          <w:rFonts w:ascii="Trebuchet MS" w:hAnsi="Trebuchet MS"/>
          <w:sz w:val="24"/>
          <w:szCs w:val="24"/>
          <w:lang w:val="ro-RO"/>
        </w:rPr>
        <w:t xml:space="preserve">care desfăşoară sau sunt autorizate să desfăşoare o activitate juridică, personalului din sistemul judiciar şi administraţie, </w:t>
      </w:r>
      <w:r w:rsidR="00600DBE" w:rsidRPr="004768DC">
        <w:rPr>
          <w:rFonts w:ascii="Trebuchet MS" w:hAnsi="Trebuchet MS"/>
          <w:sz w:val="24"/>
          <w:szCs w:val="24"/>
          <w:lang w:val="ro-RO"/>
        </w:rPr>
        <w:t xml:space="preserve">în special persoanelor </w:t>
      </w:r>
      <w:r w:rsidR="00376349" w:rsidRPr="004768DC">
        <w:rPr>
          <w:rFonts w:ascii="Trebuchet MS" w:hAnsi="Trebuchet MS"/>
          <w:sz w:val="24"/>
          <w:szCs w:val="24"/>
          <w:lang w:val="ro-RO"/>
        </w:rPr>
        <w:t xml:space="preserve">care </w:t>
      </w:r>
      <w:r w:rsidR="00600DBE" w:rsidRPr="004768DC">
        <w:rPr>
          <w:rFonts w:ascii="Trebuchet MS" w:hAnsi="Trebuchet MS"/>
          <w:sz w:val="24"/>
          <w:szCs w:val="24"/>
          <w:lang w:val="ro-RO"/>
        </w:rPr>
        <w:t>doresc</w:t>
      </w:r>
      <w:r w:rsidR="00376349" w:rsidRPr="004768DC">
        <w:rPr>
          <w:rFonts w:ascii="Trebuchet MS" w:hAnsi="Trebuchet MS"/>
          <w:sz w:val="24"/>
          <w:szCs w:val="24"/>
          <w:lang w:val="ro-RO"/>
        </w:rPr>
        <w:t xml:space="preserve"> s</w:t>
      </w:r>
      <w:r w:rsidR="00600DBE" w:rsidRPr="004768DC">
        <w:rPr>
          <w:rFonts w:ascii="Trebuchet MS" w:hAnsi="Trebuchet MS"/>
          <w:sz w:val="24"/>
          <w:szCs w:val="24"/>
          <w:lang w:val="ro-RO"/>
        </w:rPr>
        <w:t>ă îş</w:t>
      </w:r>
      <w:r w:rsidR="00376349" w:rsidRPr="004768DC">
        <w:rPr>
          <w:rFonts w:ascii="Trebuchet MS" w:hAnsi="Trebuchet MS"/>
          <w:sz w:val="24"/>
          <w:szCs w:val="24"/>
          <w:lang w:val="ro-RO"/>
        </w:rPr>
        <w:t>i</w:t>
      </w:r>
      <w:r w:rsidR="00600DBE" w:rsidRPr="004768DC">
        <w:rPr>
          <w:rFonts w:ascii="Trebuchet MS" w:hAnsi="Trebuchet MS"/>
          <w:sz w:val="24"/>
          <w:szCs w:val="24"/>
          <w:lang w:val="ro-RO"/>
        </w:rPr>
        <w:t xml:space="preserve"> îmbunătăţească cunoştinţele cu privire la justiţia drepturilor şi libertăţilor fundamentale, particularităţi ale grupurilor vulnerabile.</w:t>
      </w:r>
    </w:p>
    <w:p w:rsidR="0016227D" w:rsidRPr="004768DC" w:rsidRDefault="0016227D" w:rsidP="0016227D">
      <w:pPr>
        <w:jc w:val="both"/>
        <w:rPr>
          <w:rFonts w:ascii="Trebuchet MS" w:hAnsi="Trebuchet MS"/>
          <w:sz w:val="24"/>
          <w:szCs w:val="24"/>
          <w:lang w:val="ro-RO"/>
        </w:rPr>
      </w:pPr>
      <w:r w:rsidRPr="004768DC">
        <w:rPr>
          <w:rFonts w:ascii="Trebuchet MS" w:hAnsi="Trebuchet MS"/>
          <w:sz w:val="24"/>
          <w:szCs w:val="24"/>
          <w:lang w:val="ro-RO"/>
        </w:rPr>
        <w:t xml:space="preserve">Pentru înscrierea la sesiunile de formare, va rugam sa completați documente anexate. </w:t>
      </w:r>
    </w:p>
    <w:p w:rsidR="008F6BB8" w:rsidRPr="004768DC" w:rsidRDefault="008F6BB8" w:rsidP="00D44431">
      <w:pPr>
        <w:jc w:val="both"/>
        <w:rPr>
          <w:rFonts w:ascii="Trebuchet MS" w:hAnsi="Trebuchet MS"/>
          <w:sz w:val="20"/>
          <w:szCs w:val="20"/>
          <w:lang w:val="ro-RO"/>
        </w:rPr>
      </w:pPr>
      <w:r w:rsidRPr="004768DC">
        <w:rPr>
          <w:rFonts w:ascii="Trebuchet MS" w:hAnsi="Trebuchet MS"/>
          <w:sz w:val="24"/>
          <w:szCs w:val="24"/>
          <w:lang w:val="ro-RO"/>
        </w:rPr>
        <w:t xml:space="preserve">Pentru mai multe </w:t>
      </w:r>
      <w:proofErr w:type="spellStart"/>
      <w:r w:rsidRPr="004768DC">
        <w:rPr>
          <w:rFonts w:ascii="Trebuchet MS" w:hAnsi="Trebuchet MS"/>
          <w:sz w:val="24"/>
          <w:szCs w:val="24"/>
          <w:lang w:val="ro-RO"/>
        </w:rPr>
        <w:t>informaţii</w:t>
      </w:r>
      <w:proofErr w:type="spellEnd"/>
      <w:r w:rsidR="004768DC" w:rsidRPr="004768DC">
        <w:rPr>
          <w:rFonts w:ascii="Trebuchet MS" w:hAnsi="Trebuchet MS"/>
          <w:sz w:val="24"/>
          <w:szCs w:val="24"/>
          <w:lang w:val="ro-RO"/>
        </w:rPr>
        <w:t xml:space="preserve"> va </w:t>
      </w:r>
      <w:proofErr w:type="spellStart"/>
      <w:r w:rsidR="004768DC" w:rsidRPr="004768DC">
        <w:rPr>
          <w:rFonts w:ascii="Trebuchet MS" w:hAnsi="Trebuchet MS"/>
          <w:sz w:val="24"/>
          <w:szCs w:val="24"/>
          <w:lang w:val="ro-RO"/>
        </w:rPr>
        <w:t>puteti</w:t>
      </w:r>
      <w:proofErr w:type="spellEnd"/>
      <w:r w:rsidR="004768DC" w:rsidRPr="004768DC">
        <w:rPr>
          <w:rFonts w:ascii="Trebuchet MS" w:hAnsi="Trebuchet MS"/>
          <w:sz w:val="24"/>
          <w:szCs w:val="24"/>
          <w:lang w:val="ro-RO"/>
        </w:rPr>
        <w:t xml:space="preserve"> adresa dnei lect. </w:t>
      </w:r>
      <w:r w:rsidR="004768DC">
        <w:rPr>
          <w:rFonts w:ascii="Trebuchet MS" w:hAnsi="Trebuchet MS"/>
          <w:sz w:val="24"/>
          <w:szCs w:val="24"/>
          <w:lang w:val="ro-RO"/>
        </w:rPr>
        <w:t>d</w:t>
      </w:r>
      <w:r w:rsidR="004768DC" w:rsidRPr="004768DC">
        <w:rPr>
          <w:rFonts w:ascii="Trebuchet MS" w:hAnsi="Trebuchet MS"/>
          <w:sz w:val="24"/>
          <w:szCs w:val="24"/>
          <w:lang w:val="ro-RO"/>
        </w:rPr>
        <w:t xml:space="preserve">r. OPREA Alina, coordonator proiect partener 4 UBB, </w:t>
      </w:r>
      <w:hyperlink r:id="rId7" w:history="1">
        <w:r w:rsidR="004768DC" w:rsidRPr="004768DC">
          <w:rPr>
            <w:rStyle w:val="Hyperlink"/>
            <w:rFonts w:ascii="Trebuchet MS" w:hAnsi="Trebuchet MS"/>
            <w:sz w:val="24"/>
            <w:szCs w:val="24"/>
            <w:lang w:val="ro-RO"/>
          </w:rPr>
          <w:t>alina.oprea@law.ubbcluj.ro</w:t>
        </w:r>
      </w:hyperlink>
      <w:r w:rsidR="004768DC" w:rsidRPr="004768DC">
        <w:rPr>
          <w:rFonts w:ascii="Trebuchet MS" w:hAnsi="Trebuchet MS"/>
          <w:sz w:val="20"/>
          <w:szCs w:val="20"/>
          <w:lang w:val="ro-RO"/>
        </w:rPr>
        <w:t xml:space="preserve"> </w:t>
      </w:r>
    </w:p>
    <w:p w:rsidR="00EE6E42" w:rsidRDefault="00EE6E42" w:rsidP="00600DBE">
      <w:pPr>
        <w:jc w:val="both"/>
        <w:rPr>
          <w:rFonts w:ascii="Trebuchet MS" w:hAnsi="Trebuchet MS"/>
          <w:lang w:val="ro-RO"/>
        </w:rPr>
      </w:pPr>
      <w:bookmarkStart w:id="0" w:name="_GoBack"/>
      <w:bookmarkEnd w:id="0"/>
    </w:p>
    <w:p w:rsidR="00600DBE" w:rsidRDefault="00690241" w:rsidP="00600DBE">
      <w:pPr>
        <w:jc w:val="both"/>
        <w:rPr>
          <w:rFonts w:ascii="Trebuchet MS" w:hAnsi="Trebuchet MS"/>
          <w:lang w:val="ro-RO"/>
        </w:rPr>
      </w:pPr>
      <w:r>
        <w:rPr>
          <w:rFonts w:ascii="Arial" w:eastAsia="Calibri" w:hAnsi="Arial" w:cs="Times New Roman"/>
          <w:sz w:val="20"/>
          <w:lang w:val="en-GB"/>
        </w:rPr>
        <w:pict>
          <v:rect id="_x0000_i1025" style="width:468pt;height:1.5pt" o:hralign="center" o:hrstd="t" o:hrnoshade="t" o:hr="t" fillcolor="#034ea2" stroked="f"/>
        </w:pict>
      </w:r>
    </w:p>
    <w:p w:rsidR="00600DBE" w:rsidRDefault="00600DBE" w:rsidP="00600DBE">
      <w:pPr>
        <w:jc w:val="both"/>
        <w:rPr>
          <w:rFonts w:ascii="Trebuchet MS" w:hAnsi="Trebuchet MS"/>
          <w:lang w:val="ro-RO"/>
        </w:rPr>
      </w:pPr>
      <w:r>
        <w:rPr>
          <w:rFonts w:ascii="Trebuchet MS" w:hAnsi="Trebuchet MS"/>
          <w:lang w:val="ro-RO"/>
        </w:rPr>
        <w:t xml:space="preserve">Proiectul </w:t>
      </w:r>
      <w:r w:rsidRPr="00600DBE">
        <w:rPr>
          <w:rFonts w:ascii="Trebuchet MS" w:hAnsi="Trebuchet MS"/>
          <w:lang w:val="ro-RO"/>
        </w:rPr>
        <w:t xml:space="preserve">„Servicii de consiliere juridică pentru victime ale unor abuzuri sau nereguli din administraţie şi justiţie” este implementat de Transparency International Romania în parteneriat cu: Universitatea de Vest Timişoara, Universitatea „Lucian Blaga” din Sibiu, Universitatea din Craiova, Universitatea „Babeş Bolyai”, Universitatea „Alexandru Ioan Cuza” din Iaşi, Universitatea din Bucureşti, în perioada iulie 2018 – noiembrie 2019. </w:t>
      </w:r>
    </w:p>
    <w:p w:rsidR="0016227D" w:rsidRPr="0016227D" w:rsidRDefault="0016227D" w:rsidP="0016227D">
      <w:pPr>
        <w:jc w:val="both"/>
        <w:rPr>
          <w:rFonts w:ascii="Trebuchet MS" w:hAnsi="Trebuchet MS"/>
          <w:lang w:val="ro-RO"/>
        </w:rPr>
      </w:pPr>
      <w:r w:rsidRPr="0016227D">
        <w:rPr>
          <w:rFonts w:ascii="Trebuchet MS" w:hAnsi="Trebuchet MS"/>
          <w:lang w:val="ro-RO"/>
        </w:rPr>
        <w:t>Obiectivul general al proiectului este creșterea accesului la justiție pentru cetățenii, în special pentru cei aparținând grupurilor vulnerabile, care sunt victime ale unor abuzuri sau nereguli din administrația publica si sistemul judiciar, prin crearea si operaționalizarea unei rețele de centre de documentare si asistenta.</w:t>
      </w:r>
    </w:p>
    <w:p w:rsidR="008F6BB8" w:rsidRPr="00D44431" w:rsidRDefault="00600DBE" w:rsidP="00600DBE">
      <w:pPr>
        <w:jc w:val="both"/>
        <w:rPr>
          <w:rFonts w:ascii="Trebuchet MS" w:hAnsi="Trebuchet MS"/>
          <w:lang w:val="ro-RO"/>
        </w:rPr>
      </w:pPr>
      <w:r w:rsidRPr="00600DBE">
        <w:rPr>
          <w:rFonts w:ascii="Trebuchet MS" w:hAnsi="Trebuchet MS"/>
          <w:lang w:val="ro-RO"/>
        </w:rPr>
        <w:t xml:space="preserve">Proiectul este cofinanţat din Fondul Social European, prin Programul Operaţional Capacitate Administrativă 2014 </w:t>
      </w:r>
      <w:r w:rsidR="00D25FBD">
        <w:rPr>
          <w:rFonts w:ascii="Trebuchet MS" w:hAnsi="Trebuchet MS"/>
          <w:lang w:val="ro-RO"/>
        </w:rPr>
        <w:t>–</w:t>
      </w:r>
      <w:r w:rsidRPr="00600DBE">
        <w:rPr>
          <w:rFonts w:ascii="Trebuchet MS" w:hAnsi="Trebuchet MS"/>
          <w:lang w:val="ro-RO"/>
        </w:rPr>
        <w:t xml:space="preserve"> 2020</w:t>
      </w:r>
      <w:r w:rsidR="00D25FBD">
        <w:rPr>
          <w:rFonts w:ascii="Trebuchet MS" w:hAnsi="Trebuchet MS"/>
          <w:lang w:val="ro-RO"/>
        </w:rPr>
        <w:t>!</w:t>
      </w:r>
    </w:p>
    <w:sectPr w:rsidR="008F6BB8" w:rsidRPr="00D44431" w:rsidSect="008B548E">
      <w:headerReference w:type="default" r:id="rId8"/>
      <w:footerReference w:type="default" r:id="rId9"/>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241" w:rsidRDefault="00690241" w:rsidP="00ED2EFD">
      <w:pPr>
        <w:spacing w:after="0" w:line="240" w:lineRule="auto"/>
      </w:pPr>
      <w:r>
        <w:separator/>
      </w:r>
    </w:p>
  </w:endnote>
  <w:endnote w:type="continuationSeparator" w:id="0">
    <w:p w:rsidR="00690241" w:rsidRDefault="00690241" w:rsidP="00ED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2B4" w:rsidRDefault="007F7FF9" w:rsidP="00ED2EFD">
    <w:pPr>
      <w:pStyle w:val="Subsol"/>
    </w:pPr>
    <w:r>
      <w:rPr>
        <w:noProof/>
        <w:lang w:val="ro-RO" w:eastAsia="ro-RO"/>
      </w:rPr>
      <w:drawing>
        <wp:inline distT="0" distB="0" distL="0" distR="0" wp14:anchorId="53C734A6" wp14:editId="1C3BAB55">
          <wp:extent cx="5923915" cy="109537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1095375"/>
                  </a:xfrm>
                  <a:prstGeom prst="rect">
                    <a:avLst/>
                  </a:prstGeom>
                  <a:noFill/>
                </pic:spPr>
              </pic:pic>
            </a:graphicData>
          </a:graphic>
        </wp:inline>
      </w:drawing>
    </w:r>
  </w:p>
  <w:p w:rsidR="00D132B4" w:rsidRPr="00D132B4" w:rsidRDefault="00D132B4" w:rsidP="00D132B4">
    <w:pPr>
      <w:pStyle w:val="Subsol"/>
      <w:jc w:val="center"/>
      <w:rPr>
        <w:rFonts w:ascii="Trebuchet MS" w:hAnsi="Trebuchet MS"/>
        <w:color w:val="003399"/>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241" w:rsidRDefault="00690241" w:rsidP="00ED2EFD">
      <w:pPr>
        <w:spacing w:after="0" w:line="240" w:lineRule="auto"/>
      </w:pPr>
      <w:r>
        <w:separator/>
      </w:r>
    </w:p>
  </w:footnote>
  <w:footnote w:type="continuationSeparator" w:id="0">
    <w:p w:rsidR="00690241" w:rsidRDefault="00690241" w:rsidP="00ED2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EFD" w:rsidRDefault="007A4F51">
    <w:pPr>
      <w:pStyle w:val="Antet"/>
    </w:pPr>
    <w:r>
      <w:rPr>
        <w:noProof/>
        <w:lang w:val="ro-RO" w:eastAsia="ro-RO"/>
      </w:rPr>
      <w:drawing>
        <wp:inline distT="0" distB="0" distL="0" distR="0" wp14:anchorId="372FBC76" wp14:editId="3D5DD528">
          <wp:extent cx="5915025" cy="638175"/>
          <wp:effectExtent l="0" t="0" r="9525" b="9525"/>
          <wp:docPr id="2" name="Picture 2" descr="C:\Users\georgeta.filip\Desktop\Header-POCA-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ta.filip\Desktop\Header-POCA-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638175"/>
                  </a:xfrm>
                  <a:prstGeom prst="rect">
                    <a:avLst/>
                  </a:prstGeom>
                  <a:noFill/>
                  <a:ln>
                    <a:noFill/>
                  </a:ln>
                </pic:spPr>
              </pic:pic>
            </a:graphicData>
          </a:graphic>
        </wp:inline>
      </w:drawing>
    </w:r>
  </w:p>
  <w:p w:rsidR="00ED2EFD" w:rsidRDefault="00ED2EF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856"/>
    <w:multiLevelType w:val="hybridMultilevel"/>
    <w:tmpl w:val="F764633A"/>
    <w:lvl w:ilvl="0" w:tplc="E564D2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5A3AF5"/>
    <w:multiLevelType w:val="hybridMultilevel"/>
    <w:tmpl w:val="0A280D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60A5"/>
    <w:rsid w:val="00095CCD"/>
    <w:rsid w:val="000C2815"/>
    <w:rsid w:val="000D26AC"/>
    <w:rsid w:val="0011055A"/>
    <w:rsid w:val="00142D57"/>
    <w:rsid w:val="00153934"/>
    <w:rsid w:val="001621F3"/>
    <w:rsid w:val="0016227D"/>
    <w:rsid w:val="00173AC1"/>
    <w:rsid w:val="0030643C"/>
    <w:rsid w:val="00366565"/>
    <w:rsid w:val="00376349"/>
    <w:rsid w:val="003840B8"/>
    <w:rsid w:val="003B6285"/>
    <w:rsid w:val="003D41AF"/>
    <w:rsid w:val="00475878"/>
    <w:rsid w:val="004768DC"/>
    <w:rsid w:val="00600DBE"/>
    <w:rsid w:val="00690241"/>
    <w:rsid w:val="0069274A"/>
    <w:rsid w:val="006E60A5"/>
    <w:rsid w:val="007A4F51"/>
    <w:rsid w:val="007F7FF9"/>
    <w:rsid w:val="00863B40"/>
    <w:rsid w:val="008B548E"/>
    <w:rsid w:val="008C6D55"/>
    <w:rsid w:val="008F6BB8"/>
    <w:rsid w:val="00907410"/>
    <w:rsid w:val="0091032E"/>
    <w:rsid w:val="00913EC0"/>
    <w:rsid w:val="00A9195D"/>
    <w:rsid w:val="00B04741"/>
    <w:rsid w:val="00C60A6E"/>
    <w:rsid w:val="00C805B1"/>
    <w:rsid w:val="00CA55A9"/>
    <w:rsid w:val="00D132B4"/>
    <w:rsid w:val="00D25FBD"/>
    <w:rsid w:val="00D44431"/>
    <w:rsid w:val="00D53ED9"/>
    <w:rsid w:val="00D71317"/>
    <w:rsid w:val="00D72797"/>
    <w:rsid w:val="00EA332B"/>
    <w:rsid w:val="00ED2EFD"/>
    <w:rsid w:val="00EE6E42"/>
    <w:rsid w:val="00F21B1D"/>
    <w:rsid w:val="00F65C4E"/>
    <w:rsid w:val="00F9166E"/>
    <w:rsid w:val="00F92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A90DC6-0A68-4F0E-BEFB-17BAA7D4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ED2EF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D2EFD"/>
  </w:style>
  <w:style w:type="paragraph" w:styleId="Subsol">
    <w:name w:val="footer"/>
    <w:basedOn w:val="Normal"/>
    <w:link w:val="SubsolCaracter"/>
    <w:uiPriority w:val="99"/>
    <w:unhideWhenUsed/>
    <w:rsid w:val="00ED2EFD"/>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D2EFD"/>
  </w:style>
  <w:style w:type="paragraph" w:styleId="TextnBalon">
    <w:name w:val="Balloon Text"/>
    <w:basedOn w:val="Normal"/>
    <w:link w:val="TextnBalonCaracter"/>
    <w:uiPriority w:val="99"/>
    <w:semiHidden/>
    <w:unhideWhenUsed/>
    <w:rsid w:val="00ED2EF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D2EFD"/>
    <w:rPr>
      <w:rFonts w:ascii="Tahoma" w:hAnsi="Tahoma" w:cs="Tahoma"/>
      <w:sz w:val="16"/>
      <w:szCs w:val="16"/>
    </w:rPr>
  </w:style>
  <w:style w:type="table" w:styleId="Tabelgril">
    <w:name w:val="Table Grid"/>
    <w:basedOn w:val="TabelNormal"/>
    <w:uiPriority w:val="59"/>
    <w:rsid w:val="00863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EA332B"/>
    <w:pPr>
      <w:ind w:left="720"/>
      <w:contextualSpacing/>
    </w:pPr>
  </w:style>
  <w:style w:type="character" w:styleId="Hyperlink">
    <w:name w:val="Hyperlink"/>
    <w:basedOn w:val="Fontdeparagrafimplicit"/>
    <w:uiPriority w:val="99"/>
    <w:unhideWhenUsed/>
    <w:rsid w:val="004768DC"/>
    <w:rPr>
      <w:color w:val="0000FF" w:themeColor="hyperlink"/>
      <w:u w:val="single"/>
    </w:rPr>
  </w:style>
  <w:style w:type="character" w:styleId="MeniuneNerezolvat">
    <w:name w:val="Unresolved Mention"/>
    <w:basedOn w:val="Fontdeparagrafimplicit"/>
    <w:uiPriority w:val="99"/>
    <w:semiHidden/>
    <w:unhideWhenUsed/>
    <w:rsid w:val="00476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ina.oprea@law.ubbcluj.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494</Words>
  <Characters>2867</Characters>
  <Application>Microsoft Office Word</Application>
  <DocSecurity>0</DocSecurity>
  <Lines>23</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Transparency International Romania</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Georgeta Filip</dc:creator>
  <cp:lastModifiedBy>Alina Oprea</cp:lastModifiedBy>
  <cp:revision>4</cp:revision>
  <dcterms:created xsi:type="dcterms:W3CDTF">2019-02-20T20:57:00Z</dcterms:created>
  <dcterms:modified xsi:type="dcterms:W3CDTF">2019-02-21T09:27:00Z</dcterms:modified>
</cp:coreProperties>
</file>